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48B" w:rsidRDefault="0039048B" w:rsidP="00AC7B5B">
      <w:pPr>
        <w:tabs>
          <w:tab w:val="left" w:pos="5630"/>
        </w:tabs>
        <w:sectPr w:rsidR="0039048B">
          <w:headerReference w:type="default" r:id="rId7"/>
          <w:footerReference w:type="default" r:id="rId8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386013" w:rsidRPr="002440B8" w:rsidRDefault="00386013" w:rsidP="00386013">
      <w:pPr>
        <w:spacing w:line="240" w:lineRule="auto"/>
        <w:jc w:val="right"/>
        <w:rPr>
          <w:rFonts w:ascii="Cambria" w:hAnsi="Cambria"/>
          <w:b/>
          <w:i/>
          <w:lang w:val="fr-FR"/>
        </w:rPr>
      </w:pPr>
      <w:bookmarkStart w:id="0" w:name="_GoBack"/>
      <w:bookmarkEnd w:id="0"/>
      <w:r w:rsidRPr="002440B8">
        <w:rPr>
          <w:rFonts w:ascii="Cambria" w:hAnsi="Cambria"/>
          <w:b/>
          <w:i/>
          <w:lang w:val="fr-FR"/>
        </w:rPr>
        <w:lastRenderedPageBreak/>
        <w:t xml:space="preserve">Lafarge Ciment (Moldova) S.A.din or. Rezina, Moldova,  </w:t>
      </w:r>
    </w:p>
    <w:p w:rsidR="00386013" w:rsidRPr="002440B8" w:rsidRDefault="00386013" w:rsidP="00386013">
      <w:pPr>
        <w:spacing w:line="240" w:lineRule="auto"/>
        <w:jc w:val="right"/>
        <w:rPr>
          <w:rFonts w:ascii="Cambria" w:hAnsi="Cambria"/>
          <w:b/>
          <w:i/>
          <w:lang w:val="fr-FR"/>
        </w:rPr>
      </w:pPr>
      <w:r w:rsidRPr="002440B8">
        <w:rPr>
          <w:rFonts w:ascii="Cambria" w:hAnsi="Cambria"/>
          <w:b/>
          <w:i/>
          <w:lang w:val="fr-FR"/>
        </w:rPr>
        <w:t xml:space="preserve">in cadrul dezvoltarii sale </w:t>
      </w:r>
      <w:r>
        <w:rPr>
          <w:rFonts w:ascii="Cambria" w:hAnsi="Cambria"/>
          <w:b/>
          <w:i/>
          <w:lang w:val="fr-FR"/>
        </w:rPr>
        <w:t xml:space="preserve">recruteaza </w:t>
      </w:r>
      <w:r w:rsidRPr="002440B8">
        <w:rPr>
          <w:rFonts w:ascii="Cambria" w:hAnsi="Cambria"/>
          <w:b/>
          <w:i/>
          <w:lang w:val="fr-FR"/>
        </w:rPr>
        <w:t xml:space="preserve"> candidati pentru ocuparea postului de</w:t>
      </w:r>
    </w:p>
    <w:p w:rsidR="006B6957" w:rsidRPr="004B2EDE" w:rsidRDefault="006B6957" w:rsidP="004B2EDE">
      <w:pPr>
        <w:tabs>
          <w:tab w:val="left" w:pos="5630"/>
        </w:tabs>
        <w:jc w:val="center"/>
        <w:rPr>
          <w:rFonts w:ascii="Tahoma" w:eastAsia="Times New Roman" w:hAnsi="Tahoma" w:cs="Tahoma"/>
          <w:b/>
          <w:bCs/>
          <w:color w:val="008E70"/>
          <w:sz w:val="26"/>
          <w:szCs w:val="26"/>
          <w:shd w:val="clear" w:color="auto" w:fill="FFFFFF"/>
          <w:lang w:val="fr-FR"/>
        </w:rPr>
      </w:pPr>
      <w:r>
        <w:rPr>
          <w:rFonts w:ascii="Tahoma" w:eastAsia="Times New Roman" w:hAnsi="Tahoma" w:cs="Tahoma"/>
          <w:b/>
          <w:bCs/>
          <w:color w:val="008E70"/>
          <w:sz w:val="26"/>
          <w:szCs w:val="26"/>
          <w:shd w:val="clear" w:color="auto" w:fill="FFFFFF"/>
          <w:lang w:val="fr-FR"/>
        </w:rPr>
        <w:t>MANAGER ACHIZIȚII</w:t>
      </w:r>
    </w:p>
    <w:p w:rsidR="006B6957" w:rsidRPr="00D627AD" w:rsidRDefault="006B6957" w:rsidP="004B2EDE">
      <w:pPr>
        <w:spacing w:line="240" w:lineRule="auto"/>
        <w:jc w:val="both"/>
        <w:rPr>
          <w:rFonts w:ascii="Cambria" w:eastAsia="Calibri" w:hAnsi="Cambria" w:cs="Times New Roman"/>
          <w:b/>
          <w:u w:val="single"/>
          <w:lang w:val="fr-FR"/>
        </w:rPr>
      </w:pPr>
      <w:r w:rsidRPr="00D627AD">
        <w:rPr>
          <w:rFonts w:ascii="Cambria" w:eastAsia="Calibri" w:hAnsi="Cambria" w:cs="Times New Roman"/>
          <w:b/>
          <w:u w:val="single"/>
          <w:lang w:val="fr-FR"/>
        </w:rPr>
        <w:t>Profilul candidatului:</w:t>
      </w:r>
    </w:p>
    <w:p w:rsidR="006B6957" w:rsidRPr="00F83CCA" w:rsidRDefault="006B6957" w:rsidP="004B2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iCs/>
          <w:color w:val="0033CC"/>
          <w:sz w:val="20"/>
          <w:szCs w:val="20"/>
          <w:lang w:val="ro-RO"/>
        </w:rPr>
      </w:pPr>
      <w:r w:rsidRPr="00F83CCA">
        <w:rPr>
          <w:rFonts w:ascii="Cambria" w:eastAsia="Times New Roman" w:hAnsi="Cambria" w:cs="Times New Roman"/>
          <w:b/>
          <w:iCs/>
          <w:color w:val="0033CC"/>
          <w:szCs w:val="20"/>
          <w:lang w:val="ro-RO"/>
        </w:rPr>
        <w:t>Misiune</w:t>
      </w:r>
      <w:r w:rsidRPr="00F83CCA">
        <w:rPr>
          <w:rFonts w:ascii="Cambria" w:eastAsia="Times New Roman" w:hAnsi="Cambria" w:cs="Times New Roman"/>
          <w:b/>
          <w:iCs/>
          <w:color w:val="0033CC"/>
          <w:sz w:val="20"/>
          <w:szCs w:val="20"/>
          <w:lang w:val="ro-RO"/>
        </w:rPr>
        <w:t>:</w:t>
      </w:r>
    </w:p>
    <w:p w:rsidR="00C34CF4" w:rsidRPr="004B2EDE" w:rsidRDefault="00C34CF4" w:rsidP="004B2EDE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1A54A6">
        <w:rPr>
          <w:rFonts w:ascii="Cambria" w:eastAsia="Calibri" w:hAnsi="Cambria" w:cs="Times New Roman"/>
        </w:rPr>
        <w:t>Gestioneaza si asigura activitatea de achizitie</w:t>
      </w:r>
      <w:r w:rsidR="006B6957" w:rsidRPr="001A54A6">
        <w:rPr>
          <w:rFonts w:ascii="Cambria" w:eastAsia="Calibri" w:hAnsi="Cambria" w:cs="Times New Roman"/>
        </w:rPr>
        <w:t xml:space="preserve"> a categoriilor de bunuri și servicii în conformitate cu </w:t>
      </w:r>
      <w:r w:rsidR="004B2EDE">
        <w:rPr>
          <w:rFonts w:ascii="Cambria" w:eastAsia="Calibri" w:hAnsi="Cambria" w:cs="Times New Roman"/>
        </w:rPr>
        <w:t xml:space="preserve">strategia de categorie a Grupului </w:t>
      </w:r>
      <w:r w:rsidR="006B6957" w:rsidRPr="001A54A6">
        <w:rPr>
          <w:rFonts w:ascii="Cambria" w:eastAsia="Calibri" w:hAnsi="Cambria" w:cs="Times New Roman"/>
        </w:rPr>
        <w:t xml:space="preserve">Holcim, precum și cu politicile, procedurile și specificările corespunzătoare. </w:t>
      </w:r>
    </w:p>
    <w:p w:rsidR="004B2EDE" w:rsidRDefault="004B2EDE" w:rsidP="004B2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Cs/>
          <w:color w:val="0033CC"/>
          <w:szCs w:val="20"/>
          <w:lang w:val="ro-RO"/>
        </w:rPr>
      </w:pPr>
    </w:p>
    <w:p w:rsidR="00C34CF4" w:rsidRPr="004A1E76" w:rsidRDefault="00C34CF4" w:rsidP="004B2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Cs/>
          <w:color w:val="0033CC"/>
          <w:szCs w:val="20"/>
          <w:lang w:val="ro-RO"/>
        </w:rPr>
      </w:pPr>
      <w:r w:rsidRPr="004A1E76">
        <w:rPr>
          <w:rFonts w:ascii="Cambria" w:eastAsia="Times New Roman" w:hAnsi="Cambria"/>
          <w:b/>
          <w:iCs/>
          <w:color w:val="0033CC"/>
          <w:szCs w:val="20"/>
          <w:lang w:val="ro-RO"/>
        </w:rPr>
        <w:t>Cerinte:</w:t>
      </w:r>
    </w:p>
    <w:p w:rsidR="00C34CF4" w:rsidRDefault="00C34CF4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Studii supe</w:t>
      </w:r>
      <w:r w:rsidR="00D85597">
        <w:rPr>
          <w:rFonts w:ascii="Cambria" w:hAnsi="Cambria"/>
          <w:lang w:val="en-US"/>
        </w:rPr>
        <w:t xml:space="preserve">rioare </w:t>
      </w:r>
      <w:r w:rsidR="00D85597" w:rsidRPr="00D85597">
        <w:rPr>
          <w:rFonts w:ascii="Cambria" w:hAnsi="Cambria"/>
          <w:lang w:val="en-US"/>
        </w:rPr>
        <w:t>economice / tehnice / drept  si/sau exeperienta adecvata</w:t>
      </w:r>
      <w:r w:rsidR="00D85597">
        <w:rPr>
          <w:rFonts w:ascii="Cambria" w:hAnsi="Cambria"/>
          <w:lang w:val="en-US"/>
        </w:rPr>
        <w:t>;</w:t>
      </w:r>
    </w:p>
    <w:p w:rsidR="00C34CF4" w:rsidRDefault="00D85597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en-US"/>
        </w:rPr>
      </w:pPr>
      <w:r w:rsidRPr="00D85597">
        <w:rPr>
          <w:rFonts w:ascii="Cambria" w:hAnsi="Cambria"/>
          <w:lang w:val="en-US"/>
        </w:rPr>
        <w:t>Abilități de comunicare scrisă și orală; abilitatea de a comunica eficient/convingător la toate nivelele (inclusiv tehnic și operațional) și cu toate funcțiile</w:t>
      </w:r>
      <w:r w:rsidR="004B2EDE">
        <w:rPr>
          <w:rFonts w:ascii="Cambria" w:hAnsi="Cambria"/>
          <w:lang w:val="en-US"/>
        </w:rPr>
        <w:t xml:space="preserve"> - </w:t>
      </w:r>
      <w:r w:rsidRPr="00D85597">
        <w:rPr>
          <w:rFonts w:ascii="Cambria" w:hAnsi="Cambria"/>
          <w:lang w:val="en-US"/>
        </w:rPr>
        <w:t xml:space="preserve"> în limba engleză, romana si rusa</w:t>
      </w:r>
      <w:r w:rsidR="00C34CF4" w:rsidRPr="00D85597">
        <w:rPr>
          <w:rFonts w:ascii="Cambria" w:hAnsi="Cambria"/>
          <w:lang w:val="en-US"/>
        </w:rPr>
        <w:t>;</w:t>
      </w:r>
    </w:p>
    <w:p w:rsidR="00000B06" w:rsidRPr="003037DD" w:rsidRDefault="00000B06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Abilitati de negociere ;</w:t>
      </w:r>
    </w:p>
    <w:p w:rsidR="00C34CF4" w:rsidRDefault="00C34CF4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en-US"/>
        </w:rPr>
      </w:pPr>
      <w:r w:rsidRPr="002440B8">
        <w:rPr>
          <w:rFonts w:ascii="Cambria" w:hAnsi="Cambria"/>
          <w:lang w:val="en-US"/>
        </w:rPr>
        <w:t>Abilitati excelente</w:t>
      </w:r>
      <w:r>
        <w:rPr>
          <w:rFonts w:ascii="Cambria" w:hAnsi="Cambria"/>
          <w:lang w:val="en-US"/>
        </w:rPr>
        <w:t xml:space="preserve"> de</w:t>
      </w:r>
      <w:r w:rsidRPr="002440B8">
        <w:rPr>
          <w:rFonts w:ascii="Cambria" w:hAnsi="Cambria"/>
          <w:lang w:val="en-US"/>
        </w:rPr>
        <w:t xml:space="preserve"> opera</w:t>
      </w:r>
      <w:r>
        <w:rPr>
          <w:rFonts w:ascii="Cambria" w:hAnsi="Cambria"/>
          <w:lang w:val="en-US"/>
        </w:rPr>
        <w:t>re PC si pachetul MSOffice (Word, Excel, PowerPoint);</w:t>
      </w:r>
    </w:p>
    <w:p w:rsidR="004B2EDE" w:rsidRDefault="00C34CF4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290DA7">
        <w:rPr>
          <w:rFonts w:ascii="Cambria" w:hAnsi="Cambria"/>
          <w:lang w:val="fr-FR"/>
        </w:rPr>
        <w:t>Deschidere la un program flexibil de lucru</w:t>
      </w:r>
      <w:r w:rsidR="004B2EDE">
        <w:rPr>
          <w:rFonts w:ascii="Cambria" w:hAnsi="Cambria"/>
          <w:lang w:val="fr-FR"/>
        </w:rPr>
        <w:t xml:space="preserve"> si </w:t>
      </w:r>
      <w:r w:rsidR="00BA7B73">
        <w:rPr>
          <w:rFonts w:ascii="Cambria" w:hAnsi="Cambria"/>
          <w:lang w:val="fr-FR"/>
        </w:rPr>
        <w:t>deplasari frecvente in tara</w:t>
      </w:r>
      <w:r w:rsidRPr="00290DA7">
        <w:rPr>
          <w:rFonts w:ascii="Cambria" w:hAnsi="Cambria"/>
          <w:lang w:val="fr-FR"/>
        </w:rPr>
        <w:t>;</w:t>
      </w:r>
    </w:p>
    <w:p w:rsidR="00C34CF4" w:rsidRPr="004B2EDE" w:rsidRDefault="00C34CF4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4B2EDE">
        <w:rPr>
          <w:rFonts w:ascii="Cambria" w:hAnsi="Cambria"/>
          <w:lang w:val="fr-FR"/>
        </w:rPr>
        <w:t xml:space="preserve">Abilitati interpersonale de lucru in echipa si de comunicare ; </w:t>
      </w:r>
    </w:p>
    <w:p w:rsidR="00C34CF4" w:rsidRDefault="00C34CF4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2440B8">
        <w:rPr>
          <w:rFonts w:ascii="Cambria" w:hAnsi="Cambria"/>
          <w:lang w:val="fr-FR"/>
        </w:rPr>
        <w:t xml:space="preserve">Competente personale: </w:t>
      </w:r>
      <w:r>
        <w:rPr>
          <w:rFonts w:ascii="Cambria" w:hAnsi="Cambria"/>
          <w:lang w:val="fr-FR"/>
        </w:rPr>
        <w:t xml:space="preserve">atitudine pozitiva, persoana energica, </w:t>
      </w:r>
      <w:r w:rsidRPr="002440B8">
        <w:rPr>
          <w:rFonts w:ascii="Cambria" w:hAnsi="Cambria"/>
          <w:lang w:val="fr-FR"/>
        </w:rPr>
        <w:t xml:space="preserve">capacitate de analiza si sinteza, </w:t>
      </w:r>
      <w:r>
        <w:rPr>
          <w:rFonts w:ascii="Cambria" w:hAnsi="Cambria"/>
          <w:lang w:val="fr-FR"/>
        </w:rPr>
        <w:t xml:space="preserve">de </w:t>
      </w:r>
      <w:r w:rsidRPr="002440B8">
        <w:rPr>
          <w:rFonts w:ascii="Cambria" w:hAnsi="Cambria"/>
          <w:lang w:val="fr-FR"/>
        </w:rPr>
        <w:t>asumarea responsabilitatii,  atitudine proactiva si pozitiva, gandire anticipativa si preventiva, orientare catre rezultate, flexibilitate si adaptabilitate, rezistenta la stres, capacitate de impunere</w:t>
      </w:r>
      <w:r>
        <w:rPr>
          <w:rFonts w:ascii="Cambria" w:hAnsi="Cambria"/>
          <w:lang w:val="fr-FR"/>
        </w:rPr>
        <w:t>;</w:t>
      </w:r>
    </w:p>
    <w:p w:rsidR="00D85597" w:rsidRDefault="00D85597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D85597">
        <w:rPr>
          <w:rFonts w:ascii="Cambria" w:hAnsi="Cambria"/>
          <w:lang w:val="fr-FR"/>
        </w:rPr>
        <w:t>Capacități de gestiune eficientă a timpului, planificare și organizare; abilitate de gestiune a sarcinilor și priorităților multiple și de a duce însărcinările la bun sfârșit într-un cadru temporal stabilit și un mediu tensionat</w:t>
      </w:r>
      <w:r>
        <w:rPr>
          <w:rFonts w:ascii="Cambria" w:hAnsi="Cambria"/>
          <w:lang w:val="fr-FR"/>
        </w:rPr>
        <w:t> ;</w:t>
      </w:r>
    </w:p>
    <w:p w:rsidR="00000B06" w:rsidRPr="002440B8" w:rsidRDefault="00000B06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000B06">
        <w:rPr>
          <w:rFonts w:ascii="Cambria" w:hAnsi="Cambria"/>
          <w:lang w:val="fr-FR"/>
        </w:rPr>
        <w:t>Apt sa lucreze in mod individual si sa asigure o colaborare buna cu furnizorii (clientii)</w:t>
      </w:r>
      <w:r w:rsidR="004B2EDE">
        <w:rPr>
          <w:rFonts w:ascii="Cambria" w:hAnsi="Cambria"/>
          <w:lang w:val="fr-FR"/>
        </w:rPr>
        <w:t>.</w:t>
      </w:r>
    </w:p>
    <w:p w:rsidR="00C34CF4" w:rsidRPr="004A1E76" w:rsidRDefault="00C34CF4" w:rsidP="004B2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Cs/>
          <w:color w:val="0033CC"/>
          <w:szCs w:val="20"/>
          <w:lang w:val="ro-RO"/>
        </w:rPr>
      </w:pPr>
      <w:r w:rsidRPr="004A1E76">
        <w:rPr>
          <w:rFonts w:ascii="Cambria" w:eastAsia="Times New Roman" w:hAnsi="Cambria"/>
          <w:b/>
          <w:iCs/>
          <w:color w:val="0033CC"/>
          <w:szCs w:val="20"/>
          <w:lang w:val="ro-RO"/>
        </w:rPr>
        <w:t>Responsabilitati</w:t>
      </w:r>
    </w:p>
    <w:p w:rsidR="006B4DFE" w:rsidRPr="006B4DFE" w:rsidRDefault="006B4DFE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Evaluarea si selectarea furnizorilor</w:t>
      </w:r>
      <w:r w:rsidRPr="00BF5433">
        <w:rPr>
          <w:rFonts w:ascii="Cambria" w:hAnsi="Cambria"/>
          <w:lang w:val="fr-FR"/>
        </w:rPr>
        <w:t xml:space="preserve"> in baza preturilor, calitatii produselor oferite, a termenelor si conditiilor de livrare / plata.</w:t>
      </w:r>
    </w:p>
    <w:p w:rsidR="00BF5433" w:rsidRDefault="00000B06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Elaborarea</w:t>
      </w:r>
      <w:r w:rsidR="00BF5433" w:rsidRPr="00BF5433">
        <w:rPr>
          <w:rFonts w:ascii="Cambria" w:hAnsi="Cambria"/>
          <w:lang w:val="fr-FR"/>
        </w:rPr>
        <w:t xml:space="preserve"> documente</w:t>
      </w:r>
      <w:r>
        <w:rPr>
          <w:rFonts w:ascii="Cambria" w:hAnsi="Cambria"/>
          <w:lang w:val="fr-FR"/>
        </w:rPr>
        <w:t>lor</w:t>
      </w:r>
      <w:r w:rsidR="00BF5433" w:rsidRPr="00BF5433">
        <w:rPr>
          <w:rFonts w:ascii="Cambria" w:hAnsi="Cambria"/>
          <w:lang w:val="fr-FR"/>
        </w:rPr>
        <w:t xml:space="preserve"> de achizitii in conformitate cu procedurile si cerintele inaintate f</w:t>
      </w:r>
      <w:r>
        <w:rPr>
          <w:rFonts w:ascii="Cambria" w:hAnsi="Cambria"/>
          <w:lang w:val="fr-FR"/>
        </w:rPr>
        <w:t>ata de corespondenta de afaceri ;</w:t>
      </w:r>
    </w:p>
    <w:p w:rsidR="00000B06" w:rsidRDefault="006B4DFE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Comunicarea cu furnizorii existenti in scopul imbunatairii colaborarii ;</w:t>
      </w:r>
    </w:p>
    <w:p w:rsidR="004B2EDE" w:rsidRPr="00127581" w:rsidRDefault="00000B06" w:rsidP="0012758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Urmarirea</w:t>
      </w:r>
      <w:r w:rsidR="00BF5433" w:rsidRPr="00BF5433">
        <w:rPr>
          <w:rFonts w:ascii="Cambria" w:hAnsi="Cambria"/>
          <w:lang w:val="fr-FR"/>
        </w:rPr>
        <w:t xml:space="preserve"> si respecta</w:t>
      </w:r>
      <w:r>
        <w:rPr>
          <w:rFonts w:ascii="Cambria" w:hAnsi="Cambria"/>
          <w:lang w:val="fr-FR"/>
        </w:rPr>
        <w:t>rea termenelor</w:t>
      </w:r>
      <w:r w:rsidR="00BF5433" w:rsidRPr="00BF5433">
        <w:rPr>
          <w:rFonts w:ascii="Cambria" w:hAnsi="Cambria"/>
          <w:lang w:val="fr-FR"/>
        </w:rPr>
        <w:t xml:space="preserve"> de realizare a contractelor/comenzilor</w:t>
      </w:r>
      <w:r>
        <w:rPr>
          <w:rFonts w:ascii="Cambria" w:hAnsi="Cambria"/>
          <w:lang w:val="fr-FR"/>
        </w:rPr>
        <w:t> ;</w:t>
      </w:r>
    </w:p>
    <w:p w:rsidR="006B4DFE" w:rsidRPr="00F83CCA" w:rsidRDefault="006B4DFE" w:rsidP="004B2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Cs/>
          <w:color w:val="0033CC"/>
          <w:szCs w:val="20"/>
          <w:lang w:val="ro-RO"/>
        </w:rPr>
      </w:pPr>
      <w:r w:rsidRPr="00F83CCA">
        <w:rPr>
          <w:rFonts w:ascii="Cambria" w:eastAsia="Times New Roman" w:hAnsi="Cambria"/>
          <w:b/>
          <w:iCs/>
          <w:color w:val="0033CC"/>
          <w:szCs w:val="20"/>
          <w:lang w:val="ro-RO"/>
        </w:rPr>
        <w:t>Beneficii:</w:t>
      </w:r>
    </w:p>
    <w:p w:rsidR="006B4DFE" w:rsidRDefault="006B4DFE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2440B8">
        <w:rPr>
          <w:rFonts w:ascii="Cambria" w:hAnsi="Cambria"/>
          <w:lang w:val="fr-FR"/>
        </w:rPr>
        <w:t>Activitate intr-o companie internationala cu grija fata de angajatii sai, inclusiv sub aspectul Sanatatii si Securitatii in Munca</w:t>
      </w:r>
      <w:r>
        <w:rPr>
          <w:rFonts w:ascii="Cambria" w:hAnsi="Cambria"/>
          <w:lang w:val="fr-FR"/>
        </w:rPr>
        <w:t> ;</w:t>
      </w:r>
    </w:p>
    <w:p w:rsidR="006B4DFE" w:rsidRPr="002440B8" w:rsidRDefault="006B4DFE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Perspective de</w:t>
      </w:r>
      <w:r w:rsidRPr="002440B8">
        <w:rPr>
          <w:rFonts w:ascii="Cambria" w:hAnsi="Cambria"/>
          <w:lang w:val="fr-FR"/>
        </w:rPr>
        <w:t xml:space="preserve"> dezvoltare profesionala</w:t>
      </w:r>
      <w:r>
        <w:rPr>
          <w:rFonts w:ascii="Cambria" w:hAnsi="Cambria"/>
          <w:lang w:val="fr-FR"/>
        </w:rPr>
        <w:t> ;</w:t>
      </w:r>
    </w:p>
    <w:p w:rsidR="006B4DFE" w:rsidRPr="002440B8" w:rsidRDefault="006B4DFE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2440B8">
        <w:rPr>
          <w:rFonts w:ascii="Cambria" w:hAnsi="Cambria"/>
          <w:lang w:val="fr-FR"/>
        </w:rPr>
        <w:t xml:space="preserve">Activitate intr-o echipa </w:t>
      </w:r>
      <w:r>
        <w:rPr>
          <w:rFonts w:ascii="Cambria" w:hAnsi="Cambria"/>
          <w:lang w:val="fr-FR"/>
        </w:rPr>
        <w:t>multinationala de profesionisti ;</w:t>
      </w:r>
    </w:p>
    <w:p w:rsidR="006B4DFE" w:rsidRPr="00B15011" w:rsidRDefault="006B4DFE" w:rsidP="004B2ED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/>
          <w:lang w:val="fr-FR"/>
        </w:rPr>
      </w:pPr>
      <w:r w:rsidRPr="00B15011">
        <w:rPr>
          <w:rFonts w:ascii="Cambria" w:hAnsi="Cambria"/>
          <w:lang w:val="fr-FR"/>
        </w:rPr>
        <w:lastRenderedPageBreak/>
        <w:t>Pachet social si salarial atractiv;</w:t>
      </w:r>
    </w:p>
    <w:p w:rsidR="006B4DFE" w:rsidRPr="00313045" w:rsidRDefault="006B4DFE" w:rsidP="00127581">
      <w:pPr>
        <w:spacing w:line="240" w:lineRule="auto"/>
        <w:jc w:val="center"/>
        <w:rPr>
          <w:rFonts w:ascii="Cambria" w:hAnsi="Cambria"/>
          <w:i/>
          <w:sz w:val="20"/>
        </w:rPr>
      </w:pPr>
      <w:r w:rsidRPr="002440B8">
        <w:rPr>
          <w:rFonts w:ascii="Cambria" w:hAnsi="Cambria"/>
          <w:i/>
          <w:sz w:val="20"/>
        </w:rPr>
        <w:t xml:space="preserve">Ești interesat? </w:t>
      </w:r>
      <w:r w:rsidRPr="00313045">
        <w:rPr>
          <w:rFonts w:ascii="Cambria" w:hAnsi="Cambria"/>
          <w:i/>
          <w:sz w:val="20"/>
        </w:rPr>
        <w:t>Expediază CV-ul, cu specificarea funcției pentru care aplici, in atentia Departamentului Resurse Umane al Lafarge Ciment (Moldova) S.A.:</w:t>
      </w:r>
      <w:r>
        <w:rPr>
          <w:rFonts w:ascii="Cambria" w:hAnsi="Cambria"/>
          <w:i/>
          <w:sz w:val="20"/>
        </w:rPr>
        <w:t xml:space="preserve"> </w:t>
      </w:r>
      <w:r w:rsidRPr="00313045">
        <w:rPr>
          <w:rFonts w:ascii="Cambria" w:hAnsi="Cambria"/>
          <w:i/>
          <w:sz w:val="20"/>
        </w:rPr>
        <w:t xml:space="preserve">or. </w:t>
      </w:r>
      <w:r w:rsidRPr="002440B8">
        <w:rPr>
          <w:rFonts w:ascii="Cambria" w:hAnsi="Cambria"/>
          <w:i/>
          <w:sz w:val="20"/>
        </w:rPr>
        <w:t xml:space="preserve">Rezina, str. </w:t>
      </w:r>
      <w:r w:rsidRPr="00313045">
        <w:rPr>
          <w:rFonts w:ascii="Cambria" w:hAnsi="Cambria"/>
          <w:i/>
          <w:sz w:val="20"/>
        </w:rPr>
        <w:t>Viitorului Nr.1,</w:t>
      </w:r>
      <w:r>
        <w:rPr>
          <w:rFonts w:ascii="Cambria" w:hAnsi="Cambria"/>
          <w:i/>
          <w:sz w:val="20"/>
        </w:rPr>
        <w:t xml:space="preserve"> </w:t>
      </w:r>
      <w:r w:rsidRPr="00313045">
        <w:rPr>
          <w:rFonts w:ascii="Cambria" w:hAnsi="Cambria"/>
          <w:i/>
          <w:sz w:val="20"/>
        </w:rPr>
        <w:t xml:space="preserve"> fax. (+373) 254 55-549, e-mail: </w:t>
      </w:r>
      <w:hyperlink r:id="rId9" w:history="1">
        <w:r w:rsidRPr="00313045">
          <w:rPr>
            <w:rStyle w:val="Hyperlink"/>
            <w:rFonts w:ascii="Cambria" w:hAnsi="Cambria"/>
            <w:i/>
            <w:sz w:val="20"/>
          </w:rPr>
          <w:t>recrutare-mda@lafargeholcim.com</w:t>
        </w:r>
      </w:hyperlink>
      <w:r>
        <w:rPr>
          <w:rFonts w:ascii="Cambria" w:hAnsi="Cambria"/>
          <w:i/>
          <w:sz w:val="20"/>
        </w:rPr>
        <w:t xml:space="preserve">, </w:t>
      </w:r>
      <w:r w:rsidRPr="00313045">
        <w:rPr>
          <w:rFonts w:ascii="Cambria" w:hAnsi="Cambria"/>
          <w:i/>
          <w:sz w:val="20"/>
        </w:rPr>
        <w:t>web/site: www.lafarge.md</w:t>
      </w:r>
    </w:p>
    <w:p w:rsidR="006B4DFE" w:rsidRPr="002440B8" w:rsidRDefault="006B4DFE" w:rsidP="00127581">
      <w:pPr>
        <w:spacing w:line="240" w:lineRule="auto"/>
        <w:jc w:val="center"/>
        <w:rPr>
          <w:rFonts w:ascii="Cambria" w:hAnsi="Cambria"/>
        </w:rPr>
      </w:pPr>
      <w:r w:rsidRPr="002440B8">
        <w:rPr>
          <w:rFonts w:ascii="Cambria" w:hAnsi="Cambria"/>
          <w:i/>
          <w:sz w:val="20"/>
        </w:rPr>
        <w:t>Vor fi contactate numai pesoanele selectate pentru interviu.</w:t>
      </w:r>
    </w:p>
    <w:p w:rsidR="006B6957" w:rsidRPr="006B6957" w:rsidRDefault="006B6957" w:rsidP="004B2EDE">
      <w:pPr>
        <w:tabs>
          <w:tab w:val="left" w:pos="5630"/>
        </w:tabs>
        <w:jc w:val="both"/>
        <w:rPr>
          <w:lang w:val="ro-RO"/>
        </w:rPr>
      </w:pPr>
    </w:p>
    <w:sectPr w:rsidR="006B6957" w:rsidRPr="006B6957" w:rsidSect="0039048B">
      <w:type w:val="continuous"/>
      <w:pgSz w:w="12240" w:h="15840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31" w:rsidRDefault="001D1F31" w:rsidP="00BF2B96">
      <w:pPr>
        <w:spacing w:after="0" w:line="240" w:lineRule="auto"/>
      </w:pPr>
      <w:r>
        <w:separator/>
      </w:r>
    </w:p>
  </w:endnote>
  <w:endnote w:type="continuationSeparator" w:id="0">
    <w:p w:rsidR="001D1F31" w:rsidRDefault="001D1F31" w:rsidP="00BF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28" w:type="dxa"/>
      <w:tblInd w:w="-12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328"/>
    </w:tblGrid>
    <w:tr w:rsidR="00BF2B96" w:rsidTr="00BF2B96">
      <w:trPr>
        <w:trHeight w:val="1340"/>
      </w:trPr>
      <w:tc>
        <w:tcPr>
          <w:tcW w:w="11328" w:type="dxa"/>
        </w:tcPr>
        <w:p w:rsidR="00BF2B96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 w:rsidRPr="00C65302">
            <w:rPr>
              <w:rFonts w:ascii="Arial" w:hAnsi="Arial" w:cs="Arial"/>
              <w:b/>
              <w:sz w:val="15"/>
              <w:szCs w:val="15"/>
              <w:lang w:val="it-IT"/>
            </w:rPr>
            <w:t>LAFARGE CIMENT (MOLDOVA) S.A.</w:t>
          </w:r>
        </w:p>
        <w:p w:rsidR="00BF2B96" w:rsidRPr="00C65302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Strada Viitorului 1 </w:t>
          </w:r>
          <w:r>
            <w:rPr>
              <w:rFonts w:ascii="Arial" w:hAnsi="Arial" w:cs="Arial"/>
              <w:sz w:val="15"/>
              <w:szCs w:val="15"/>
              <w:lang w:val="it-IT"/>
            </w:rPr>
            <w:t>-</w:t>
          </w: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 MD 5400 </w:t>
          </w:r>
          <w:r>
            <w:rPr>
              <w:rFonts w:ascii="Arial" w:hAnsi="Arial" w:cs="Arial"/>
              <w:sz w:val="15"/>
              <w:szCs w:val="15"/>
              <w:lang w:val="it-IT"/>
            </w:rPr>
            <w:t>-</w:t>
          </w: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 Rezina </w:t>
          </w:r>
          <w:r>
            <w:rPr>
              <w:rFonts w:ascii="Arial" w:hAnsi="Arial" w:cs="Arial"/>
              <w:sz w:val="15"/>
              <w:szCs w:val="15"/>
              <w:lang w:val="it-IT"/>
            </w:rPr>
            <w:t>-</w:t>
          </w:r>
          <w:r w:rsidRPr="001F16C4">
            <w:rPr>
              <w:rFonts w:ascii="Arial" w:hAnsi="Arial" w:cs="Arial"/>
              <w:sz w:val="15"/>
              <w:szCs w:val="15"/>
              <w:lang w:val="it-IT"/>
            </w:rPr>
            <w:t xml:space="preserve"> Republica Moldova</w:t>
          </w:r>
        </w:p>
        <w:tbl>
          <w:tblPr>
            <w:tblpPr w:leftFromText="180" w:rightFromText="180" w:vertAnchor="text" w:horzAnchor="page" w:tblpX="6718" w:tblpY="58"/>
            <w:tblW w:w="0" w:type="auto"/>
            <w:tblLook w:val="04A0"/>
          </w:tblPr>
          <w:tblGrid>
            <w:gridCol w:w="4783"/>
          </w:tblGrid>
          <w:tr w:rsidR="00BF2B96" w:rsidRPr="00B8104E" w:rsidTr="00E67248">
            <w:tc>
              <w:tcPr>
                <w:tcW w:w="4783" w:type="dxa"/>
              </w:tcPr>
              <w:p w:rsidR="00BF2B96" w:rsidRPr="00B8104E" w:rsidRDefault="00BF2B96" w:rsidP="00BF2B96">
                <w:pPr>
                  <w:jc w:val="right"/>
                  <w:rPr>
                    <w:rFonts w:ascii="Arial" w:hAnsi="Arial" w:cs="Arial"/>
                    <w:sz w:val="15"/>
                    <w:szCs w:val="15"/>
                    <w:lang w:val="it-IT"/>
                  </w:rPr>
                </w:pPr>
                <w:r w:rsidRPr="00B8104E">
                  <w:rPr>
                    <w:noProof/>
                  </w:rPr>
                  <w:drawing>
                    <wp:inline distT="0" distB="0" distL="0" distR="0">
                      <wp:extent cx="1219200" cy="3873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F2B96" w:rsidRDefault="00BF2B96" w:rsidP="00AC7B5B">
          <w:pPr>
            <w:ind w:left="432"/>
            <w:rPr>
              <w:rFonts w:ascii="Arial" w:hAnsi="Arial" w:cs="Arial"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 xml:space="preserve">Tel.: (+373) (254) 55 500, </w:t>
          </w:r>
        </w:p>
        <w:p w:rsidR="00BF2B96" w:rsidRPr="00C65302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email: lafarge.moldova@lafarge.com</w:t>
          </w:r>
        </w:p>
        <w:p w:rsidR="00BF2B96" w:rsidRPr="00C65302" w:rsidRDefault="00BF2B96" w:rsidP="00AC7B5B">
          <w:pPr>
            <w:ind w:left="432"/>
            <w:rPr>
              <w:rFonts w:ascii="Arial" w:hAnsi="Arial" w:cs="Arial"/>
              <w:b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IDNO:  1003606006217</w:t>
          </w:r>
        </w:p>
        <w:p w:rsidR="00BF2B96" w:rsidRDefault="00BF2B96" w:rsidP="00AC7B5B">
          <w:pPr>
            <w:ind w:left="432"/>
            <w:rPr>
              <w:rFonts w:ascii="Arial" w:hAnsi="Arial" w:cs="Arial"/>
              <w:sz w:val="15"/>
              <w:szCs w:val="15"/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 xml:space="preserve">Capital social: </w:t>
          </w:r>
          <w:r w:rsidRPr="005A7D02">
            <w:rPr>
              <w:rFonts w:ascii="Arial" w:hAnsi="Arial" w:cs="Arial"/>
              <w:sz w:val="15"/>
              <w:szCs w:val="15"/>
              <w:lang w:val="it-IT"/>
            </w:rPr>
            <w:t>222502635</w:t>
          </w:r>
          <w:r>
            <w:rPr>
              <w:rFonts w:ascii="Arial" w:hAnsi="Arial" w:cs="Arial"/>
              <w:sz w:val="15"/>
              <w:szCs w:val="15"/>
              <w:lang w:val="it-IT"/>
            </w:rPr>
            <w:t xml:space="preserve"> lei</w:t>
          </w:r>
        </w:p>
        <w:p w:rsidR="00BF2B96" w:rsidRPr="00BF2B96" w:rsidRDefault="00BF2B96" w:rsidP="00AC7B5B">
          <w:pPr>
            <w:ind w:left="432"/>
            <w:rPr>
              <w:lang w:val="it-IT"/>
            </w:rPr>
          </w:pPr>
          <w:r>
            <w:rPr>
              <w:rFonts w:ascii="Arial" w:hAnsi="Arial" w:cs="Arial"/>
              <w:sz w:val="15"/>
              <w:szCs w:val="15"/>
              <w:lang w:val="it-IT"/>
            </w:rPr>
            <w:t>www.lafarge.md</w:t>
          </w:r>
        </w:p>
      </w:tc>
    </w:tr>
  </w:tbl>
  <w:p w:rsidR="00BF2B96" w:rsidRDefault="00BF2B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31" w:rsidRDefault="001D1F31" w:rsidP="00BF2B96">
      <w:pPr>
        <w:spacing w:after="0" w:line="240" w:lineRule="auto"/>
      </w:pPr>
      <w:r>
        <w:separator/>
      </w:r>
    </w:p>
  </w:footnote>
  <w:footnote w:type="continuationSeparator" w:id="0">
    <w:p w:rsidR="001D1F31" w:rsidRDefault="001D1F31" w:rsidP="00BF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B5B" w:rsidRDefault="00AC7B5B">
    <w:pPr>
      <w:pStyle w:val="Header"/>
    </w:pPr>
    <w:r>
      <w:rPr>
        <w:noProof/>
      </w:rPr>
      <w:drawing>
        <wp:inline distT="0" distB="0" distL="0" distR="0">
          <wp:extent cx="1905098" cy="9017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98" cy="9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9BD"/>
    <w:multiLevelType w:val="multilevel"/>
    <w:tmpl w:val="247859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69676750"/>
    <w:multiLevelType w:val="hybridMultilevel"/>
    <w:tmpl w:val="7BD4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4RubCzLg4Xsr7QJNeXfnHo4+RHKlcTyePCVq/3P48gDt9r1VugORxxLTi3H7QE8FrMoE1letKHi5&#10;Qc917QUCIQ==" w:salt="i9fqkU802wp39ULyoxY9ag==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F2B96"/>
    <w:rsid w:val="00000B06"/>
    <w:rsid w:val="00127581"/>
    <w:rsid w:val="001A54A6"/>
    <w:rsid w:val="001D1F31"/>
    <w:rsid w:val="002E6CD8"/>
    <w:rsid w:val="00364FE9"/>
    <w:rsid w:val="00386013"/>
    <w:rsid w:val="0039048B"/>
    <w:rsid w:val="004848E2"/>
    <w:rsid w:val="004B2EDE"/>
    <w:rsid w:val="005F607D"/>
    <w:rsid w:val="006B4DFE"/>
    <w:rsid w:val="006B6957"/>
    <w:rsid w:val="0078746A"/>
    <w:rsid w:val="00905C21"/>
    <w:rsid w:val="00AC7B5B"/>
    <w:rsid w:val="00B14BC5"/>
    <w:rsid w:val="00B21BC2"/>
    <w:rsid w:val="00BA7B73"/>
    <w:rsid w:val="00BF2B96"/>
    <w:rsid w:val="00BF5433"/>
    <w:rsid w:val="00C34CF4"/>
    <w:rsid w:val="00D85597"/>
    <w:rsid w:val="00DE0D41"/>
    <w:rsid w:val="00E7290C"/>
    <w:rsid w:val="00FB12E7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B96"/>
  </w:style>
  <w:style w:type="paragraph" w:styleId="Footer">
    <w:name w:val="footer"/>
    <w:basedOn w:val="Normal"/>
    <w:link w:val="FooterChar"/>
    <w:uiPriority w:val="99"/>
    <w:unhideWhenUsed/>
    <w:rsid w:val="00BF2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B96"/>
  </w:style>
  <w:style w:type="table" w:styleId="TableGrid">
    <w:name w:val="Table Grid"/>
    <w:basedOn w:val="TableNormal"/>
    <w:uiPriority w:val="39"/>
    <w:rsid w:val="00BF2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D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B695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basedOn w:val="DefaultParagraphFont"/>
    <w:link w:val="ListParagraph"/>
    <w:locked/>
    <w:rsid w:val="006B6957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rsid w:val="006B4D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tare-mda@lafargeholci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Visnevschi</dc:creator>
  <cp:lastModifiedBy>Ina Sandu</cp:lastModifiedBy>
  <cp:revision>3</cp:revision>
  <dcterms:created xsi:type="dcterms:W3CDTF">2021-10-04T07:51:00Z</dcterms:created>
  <dcterms:modified xsi:type="dcterms:W3CDTF">2021-10-04T07:52:00Z</dcterms:modified>
</cp:coreProperties>
</file>